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r w:rsidRPr="00AB0255">
        <w:rPr>
          <w:rFonts w:ascii="Verdana" w:hAnsi="Verdana" w:cs="Arial"/>
          <w:sz w:val="40"/>
        </w:rPr>
        <w:t>Sbírané druhy nebezpečných odpadů</w:t>
      </w:r>
    </w:p>
    <w:p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018" w:rsidRDefault="005A7018" w:rsidP="005E2186">
      <w:pPr>
        <w:spacing w:after="0" w:line="240" w:lineRule="auto"/>
      </w:pPr>
      <w:r>
        <w:separator/>
      </w:r>
    </w:p>
  </w:endnote>
  <w:endnote w:type="continuationSeparator" w:id="0">
    <w:p w:rsidR="005A7018" w:rsidRDefault="005A7018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018" w:rsidRDefault="005A7018" w:rsidP="005E2186">
      <w:pPr>
        <w:spacing w:after="0" w:line="240" w:lineRule="auto"/>
      </w:pPr>
      <w:r>
        <w:separator/>
      </w:r>
    </w:p>
  </w:footnote>
  <w:footnote w:type="continuationSeparator" w:id="0">
    <w:p w:rsidR="005A7018" w:rsidRDefault="005A7018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304067"/>
    <w:rsid w:val="00320B90"/>
    <w:rsid w:val="00370A9D"/>
    <w:rsid w:val="003D4434"/>
    <w:rsid w:val="00455B23"/>
    <w:rsid w:val="004E002C"/>
    <w:rsid w:val="004F0BB9"/>
    <w:rsid w:val="00510561"/>
    <w:rsid w:val="005A7018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75FE2"/>
    <w:rsid w:val="00785A7D"/>
    <w:rsid w:val="007922F1"/>
    <w:rsid w:val="007A5231"/>
    <w:rsid w:val="007A66F2"/>
    <w:rsid w:val="007F572B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A377E"/>
    <w:rsid w:val="00EC0E80"/>
    <w:rsid w:val="00F21C5F"/>
    <w:rsid w:val="00F21EC1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OU-Chudeřice</cp:lastModifiedBy>
  <cp:revision>2</cp:revision>
  <cp:lastPrinted>2014-10-21T13:46:00Z</cp:lastPrinted>
  <dcterms:created xsi:type="dcterms:W3CDTF">2023-03-17T13:59:00Z</dcterms:created>
  <dcterms:modified xsi:type="dcterms:W3CDTF">2023-03-17T13:59:00Z</dcterms:modified>
</cp:coreProperties>
</file>